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36"/>
          <w:lang w:val="en-US" w:eastAsia="zh-CN"/>
        </w:rPr>
      </w:pPr>
      <w:r>
        <w:rPr>
          <w:rFonts w:hint="eastAsia"/>
          <w:sz w:val="40"/>
          <w:szCs w:val="36"/>
          <w:lang w:val="en-US" w:eastAsia="zh-CN"/>
        </w:rPr>
        <w:t>附件2</w:t>
      </w:r>
    </w:p>
    <w:p>
      <w:pPr>
        <w:pStyle w:val="2"/>
        <w:rPr>
          <w:rFonts w:hint="eastAsia"/>
          <w:sz w:val="40"/>
          <w:szCs w:val="36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hanging="880" w:hanging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岳阳新华联富润石油化工有限公司概况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企业名称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岳阳新华联富润石油化工有限公司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统一社会信用代码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91430600736754454J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董献忠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住所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岳阳市云溪区道仁矶镇滨江村三组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注册资本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5,000万元人民币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经营范围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化工产品仓储及销售(危险化学品凭《危险化学品经营许可证》经营，有效期限以许可证为准) ，燃料油、沥青、重质油、跨筑材料的销售，公路、铁路运输代理服务，成品油零售(限分支机构经营) 。(依法须经批准的项目，经相关部门批准后方可开展经营活动)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成立日期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2002年3月18日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营业期限至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2055年9月11日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业务情况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司地处长江南岸，紧靠江边，在城陵矶下游12.5公里处，毗临湖南省重点工程一新港大型国际集装箱码头和岳化码头，北临长江，是湖南省对外的一个重要港口区，水运条件十分优越。公司是一家集仓储、中转、物流和经营于一体的岳阳市重点现代物流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司资质齐全，资产优良，有成品油仓储、批发和零售资质。公司占地87,624平方米，有27个成品油储罐，总仓储量8.46万立方米，有2个3,000吨级泊位的危化码头一座，占用长江岸线265米。码头由两座钢引桥和两艘长75米、宽14米的意船组成，设计年吞吐量为137万吨，可以同时为两艘满载的油轮提供装卸服务。公司设有水上加油站，有水上加油船1艘，可为整个洞庭湖地区客户及长江过往的船舶加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AC250"/>
    <w:multiLevelType w:val="singleLevel"/>
    <w:tmpl w:val="FC5AC250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0ED83752"/>
    <w:multiLevelType w:val="singleLevel"/>
    <w:tmpl w:val="0ED83752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GNjZjNmYzJkMGI4YzhiZGZkYTdlZWNkYTJkNGQifQ=="/>
  </w:docVars>
  <w:rsids>
    <w:rsidRoot w:val="58A30DA0"/>
    <w:rsid w:val="02350661"/>
    <w:rsid w:val="035668D3"/>
    <w:rsid w:val="3D1A2144"/>
    <w:rsid w:val="58A30DA0"/>
    <w:rsid w:val="597F44F4"/>
    <w:rsid w:val="73316700"/>
    <w:rsid w:val="7D4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eastAsia="仿宋_GB2312" w:asciiTheme="minorAscii" w:hAnsiTheme="minorAscii" w:cstheme="minorBidi"/>
      <w:kern w:val="0"/>
      <w:sz w:val="28"/>
      <w:szCs w:val="24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lang w:bidi="ar"/>
    </w:rPr>
  </w:style>
  <w:style w:type="paragraph" w:styleId="5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rFonts w:eastAsia="仿宋_GB2312" w:asciiTheme="minorAscii" w:hAnsiTheme="minorAscii"/>
      <w:b/>
      <w:kern w:val="0"/>
      <w:sz w:val="28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</w:rPr>
  </w:style>
  <w:style w:type="paragraph" w:styleId="3">
    <w:name w:val="endnote text"/>
    <w:basedOn w:val="1"/>
    <w:unhideWhenUsed/>
    <w:qFormat/>
    <w:uiPriority w:val="99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8">
    <w:name w:val="标题 3 Char"/>
    <w:link w:val="5"/>
    <w:qFormat/>
    <w:uiPriority w:val="0"/>
    <w:rPr>
      <w:rFonts w:eastAsia="仿宋_GB2312" w:asciiTheme="minorAscii" w:hAnsiTheme="minorAscii"/>
      <w:b/>
      <w:kern w:val="0"/>
      <w:sz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2023-09-04T08:57:00Z</dcterms:created>
  <dc:creator>简代安</dc:creator>
  <cp:lastModifiedBy>简代安</cp:lastModifiedBy>
  <dcterms:modified xsi:type="dcterms:W3CDTF">2023-09-04T09:05:04Z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23EEE532C2EC4438864A95CBEB72587D_11</vt:lpwstr>
  </property>
</Properties>
</file>