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07DE8">
      <w:pPr>
        <w:widowControl w:val="0"/>
        <w:spacing w:after="0" w:line="240" w:lineRule="auto"/>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岳阳邦盛实业有限公司选聘平江县兴科云母制品有限公司专项审计会计师事务所项目</w:t>
      </w:r>
    </w:p>
    <w:p w14:paraId="5B1F1490">
      <w:pPr>
        <w:widowControl w:val="0"/>
        <w:spacing w:after="0" w:line="240" w:lineRule="auto"/>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比选结果挂网公示</w:t>
      </w:r>
    </w:p>
    <w:p w14:paraId="1C98E0E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pPr>
    </w:p>
    <w:p w14:paraId="1C980E0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pPr>
      <w:r>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t>岳阳邦盛实业有限公司选聘平江县兴科云母制品有限公司2018年-2025年专项审计会计师事务所项目于2026年7月21日，在岳阳邦盛实业有限公司2楼会议室进行公开比选。比选办法采用“综合评分法”，本次比选小组由公司综合事务部、财务融资部、法务审计部相关人员组成。比选候选人公示如下：</w:t>
      </w:r>
    </w:p>
    <w:tbl>
      <w:tblPr>
        <w:tblStyle w:val="32"/>
        <w:tblW w:w="88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84"/>
        <w:gridCol w:w="4503"/>
        <w:gridCol w:w="1963"/>
      </w:tblGrid>
      <w:tr w14:paraId="10634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23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B06B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比选候选人排序</w:t>
            </w:r>
          </w:p>
        </w:tc>
        <w:tc>
          <w:tcPr>
            <w:tcW w:w="4503" w:type="dxa"/>
            <w:tcBorders>
              <w:top w:val="single" w:color="000000" w:sz="8" w:space="0"/>
              <w:left w:val="nil"/>
              <w:bottom w:val="single" w:color="000000" w:sz="8" w:space="0"/>
              <w:right w:val="single" w:color="000000" w:sz="8" w:space="0"/>
            </w:tcBorders>
            <w:shd w:val="clear" w:color="auto" w:fill="auto"/>
            <w:vAlign w:val="center"/>
          </w:tcPr>
          <w:p w14:paraId="559E4B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比选候选人名称</w:t>
            </w:r>
          </w:p>
        </w:tc>
        <w:tc>
          <w:tcPr>
            <w:tcW w:w="1963" w:type="dxa"/>
            <w:tcBorders>
              <w:top w:val="single" w:color="000000" w:sz="8" w:space="0"/>
              <w:left w:val="nil"/>
              <w:bottom w:val="single" w:color="000000" w:sz="8" w:space="0"/>
              <w:right w:val="single" w:color="000000" w:sz="8" w:space="0"/>
            </w:tcBorders>
            <w:shd w:val="clear" w:color="auto" w:fill="auto"/>
            <w:vAlign w:val="center"/>
          </w:tcPr>
          <w:p w14:paraId="73A796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综合得分/分</w:t>
            </w:r>
          </w:p>
        </w:tc>
      </w:tr>
      <w:tr w14:paraId="5C5F2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4" w:type="dxa"/>
            <w:tcBorders>
              <w:top w:val="nil"/>
              <w:left w:val="single" w:color="000000" w:sz="8" w:space="0"/>
              <w:bottom w:val="single" w:color="000000" w:sz="8" w:space="0"/>
              <w:right w:val="single" w:color="000000" w:sz="8" w:space="0"/>
            </w:tcBorders>
            <w:shd w:val="clear" w:color="auto" w:fill="auto"/>
            <w:vAlign w:val="center"/>
          </w:tcPr>
          <w:p w14:paraId="1F26ED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第一名</w:t>
            </w:r>
          </w:p>
        </w:tc>
        <w:tc>
          <w:tcPr>
            <w:tcW w:w="4503" w:type="dxa"/>
            <w:tcBorders>
              <w:top w:val="nil"/>
              <w:left w:val="nil"/>
              <w:bottom w:val="single" w:color="000000" w:sz="8" w:space="0"/>
              <w:right w:val="single" w:color="000000" w:sz="8" w:space="0"/>
            </w:tcBorders>
            <w:shd w:val="clear" w:color="auto" w:fill="auto"/>
            <w:vAlign w:val="center"/>
          </w:tcPr>
          <w:p w14:paraId="74014C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z w:val="28"/>
                <w:szCs w:val="28"/>
                <w:u w:val="none"/>
              </w:rPr>
              <w:t>湖南中智诚联合会计师事务所</w:t>
            </w:r>
          </w:p>
          <w:p w14:paraId="5CEF8D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lang w:eastAsia="zh-CN"/>
              </w:rPr>
            </w:pPr>
            <w:r>
              <w:rPr>
                <w:rFonts w:hint="eastAsia" w:ascii="仿宋_GB2312" w:hAnsi="宋体" w:eastAsia="仿宋_GB2312" w:cs="仿宋_GB2312"/>
                <w:i w:val="0"/>
                <w:iCs w:val="0"/>
                <w:color w:val="000000"/>
                <w:sz w:val="28"/>
                <w:szCs w:val="28"/>
                <w:u w:val="none"/>
              </w:rPr>
              <w:t>（普通合伙</w:t>
            </w:r>
            <w:r>
              <w:rPr>
                <w:rFonts w:hint="eastAsia" w:ascii="仿宋_GB2312" w:hAnsi="宋体" w:eastAsia="仿宋_GB2312" w:cs="仿宋_GB2312"/>
                <w:i w:val="0"/>
                <w:iCs w:val="0"/>
                <w:color w:val="000000"/>
                <w:sz w:val="28"/>
                <w:szCs w:val="28"/>
                <w:u w:val="none"/>
                <w:lang w:eastAsia="zh-CN"/>
              </w:rPr>
              <w:t>）</w:t>
            </w:r>
          </w:p>
        </w:tc>
        <w:tc>
          <w:tcPr>
            <w:tcW w:w="1963" w:type="dxa"/>
            <w:tcBorders>
              <w:top w:val="nil"/>
              <w:left w:val="nil"/>
              <w:bottom w:val="single" w:color="000000" w:sz="8" w:space="0"/>
              <w:right w:val="single" w:color="000000" w:sz="8" w:space="0"/>
            </w:tcBorders>
            <w:shd w:val="clear" w:color="auto" w:fill="auto"/>
            <w:vAlign w:val="center"/>
          </w:tcPr>
          <w:p w14:paraId="16BAA0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89.75</w:t>
            </w:r>
          </w:p>
        </w:tc>
      </w:tr>
      <w:tr w14:paraId="2DADC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4" w:type="dxa"/>
            <w:tcBorders>
              <w:top w:val="nil"/>
              <w:left w:val="single" w:color="000000" w:sz="8" w:space="0"/>
              <w:bottom w:val="single" w:color="000000" w:sz="8" w:space="0"/>
              <w:right w:val="single" w:color="000000" w:sz="8" w:space="0"/>
            </w:tcBorders>
            <w:shd w:val="clear" w:color="auto" w:fill="auto"/>
            <w:vAlign w:val="center"/>
          </w:tcPr>
          <w:p w14:paraId="18E5F9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第二名</w:t>
            </w:r>
          </w:p>
        </w:tc>
        <w:tc>
          <w:tcPr>
            <w:tcW w:w="4503" w:type="dxa"/>
            <w:tcBorders>
              <w:top w:val="nil"/>
              <w:left w:val="nil"/>
              <w:bottom w:val="single" w:color="000000" w:sz="8" w:space="0"/>
              <w:right w:val="single" w:color="000000" w:sz="8" w:space="0"/>
            </w:tcBorders>
            <w:shd w:val="clear" w:color="auto" w:fill="auto"/>
            <w:vAlign w:val="center"/>
          </w:tcPr>
          <w:p w14:paraId="383ABE1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z w:val="28"/>
                <w:szCs w:val="28"/>
                <w:u w:val="none"/>
              </w:rPr>
              <w:t>湖南公众会计师事务所有限公司</w:t>
            </w:r>
          </w:p>
        </w:tc>
        <w:tc>
          <w:tcPr>
            <w:tcW w:w="1963" w:type="dxa"/>
            <w:tcBorders>
              <w:top w:val="nil"/>
              <w:left w:val="nil"/>
              <w:bottom w:val="single" w:color="000000" w:sz="8" w:space="0"/>
              <w:right w:val="single" w:color="000000" w:sz="8" w:space="0"/>
            </w:tcBorders>
            <w:shd w:val="clear" w:color="auto" w:fill="auto"/>
            <w:vAlign w:val="center"/>
          </w:tcPr>
          <w:p w14:paraId="7DD69C0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85.94</w:t>
            </w:r>
          </w:p>
        </w:tc>
      </w:tr>
      <w:tr w14:paraId="5D5B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384" w:type="dxa"/>
            <w:tcBorders>
              <w:top w:val="nil"/>
              <w:left w:val="single" w:color="000000" w:sz="8" w:space="0"/>
              <w:bottom w:val="single" w:color="000000" w:sz="8" w:space="0"/>
              <w:right w:val="single" w:color="000000" w:sz="8" w:space="0"/>
            </w:tcBorders>
            <w:shd w:val="clear" w:color="auto" w:fill="auto"/>
            <w:vAlign w:val="center"/>
          </w:tcPr>
          <w:p w14:paraId="3F4EC4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第三名</w:t>
            </w:r>
          </w:p>
        </w:tc>
        <w:tc>
          <w:tcPr>
            <w:tcW w:w="4503" w:type="dxa"/>
            <w:tcBorders>
              <w:top w:val="nil"/>
              <w:left w:val="nil"/>
              <w:bottom w:val="single" w:color="000000" w:sz="8" w:space="0"/>
              <w:right w:val="single" w:color="000000" w:sz="8" w:space="0"/>
            </w:tcBorders>
            <w:shd w:val="clear" w:color="auto" w:fill="auto"/>
            <w:vAlign w:val="center"/>
          </w:tcPr>
          <w:p w14:paraId="01F2BE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z w:val="28"/>
                <w:szCs w:val="28"/>
                <w:u w:val="none"/>
              </w:rPr>
              <w:t>云南济海会计师事务所</w:t>
            </w:r>
          </w:p>
          <w:p w14:paraId="098BE4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z w:val="28"/>
                <w:szCs w:val="28"/>
                <w:u w:val="none"/>
              </w:rPr>
              <w:t>（普通合伙）</w:t>
            </w:r>
          </w:p>
        </w:tc>
        <w:tc>
          <w:tcPr>
            <w:tcW w:w="1963" w:type="dxa"/>
            <w:tcBorders>
              <w:top w:val="nil"/>
              <w:left w:val="nil"/>
              <w:bottom w:val="single" w:color="000000" w:sz="8" w:space="0"/>
              <w:right w:val="single" w:color="000000" w:sz="8" w:space="0"/>
            </w:tcBorders>
            <w:shd w:val="clear" w:color="auto" w:fill="auto"/>
            <w:vAlign w:val="center"/>
          </w:tcPr>
          <w:p w14:paraId="395986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85.58</w:t>
            </w:r>
          </w:p>
        </w:tc>
      </w:tr>
    </w:tbl>
    <w:p w14:paraId="126418A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pPr>
      <w:bookmarkStart w:id="0" w:name="_GoBack"/>
      <w:r>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t>公示周期自发布次日起3日，公示期满对比选候选人若无异议，第一中标候选人为该项目的中标人。</w:t>
      </w:r>
    </w:p>
    <w:p w14:paraId="66DCC780">
      <w:pPr>
        <w:keepNext w:val="0"/>
        <w:keepLines w:val="0"/>
        <w:pageBreakBefore w:val="0"/>
        <w:widowControl w:val="0"/>
        <w:kinsoku/>
        <w:wordWrap/>
        <w:overflowPunct/>
        <w:topLinePunct w:val="0"/>
        <w:autoSpaceDE/>
        <w:autoSpaceDN/>
        <w:bidi w:val="0"/>
        <w:adjustRightInd/>
        <w:snapToGrid/>
        <w:spacing w:after="0" w:line="600" w:lineRule="exact"/>
        <w:ind w:firstLine="4800" w:firstLineChars="1500"/>
        <w:jc w:val="both"/>
        <w:textAlignment w:val="auto"/>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pPr>
      <w:r>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t>岳阳邦盛实业有限公司</w:t>
      </w:r>
    </w:p>
    <w:p w14:paraId="162F8EED">
      <w:pPr>
        <w:keepNext w:val="0"/>
        <w:keepLines w:val="0"/>
        <w:pageBreakBefore w:val="0"/>
        <w:widowControl w:val="0"/>
        <w:kinsoku/>
        <w:wordWrap w:val="0"/>
        <w:overflowPunct/>
        <w:topLinePunct w:val="0"/>
        <w:autoSpaceDE/>
        <w:autoSpaceDN/>
        <w:bidi w:val="0"/>
        <w:adjustRightInd/>
        <w:snapToGrid/>
        <w:spacing w:after="0" w:line="600" w:lineRule="exact"/>
        <w:ind w:firstLine="640" w:firstLineChars="200"/>
        <w:jc w:val="center"/>
        <w:textAlignment w:val="auto"/>
        <w:rPr>
          <w:rFonts w:hint="default" w:ascii="仿宋_GB2312" w:hAnsi="宋体" w:eastAsia="仿宋_GB2312" w:cs="仿宋_GB2312"/>
          <w:i w:val="0"/>
          <w:iCs w:val="0"/>
          <w:caps w:val="0"/>
          <w:color w:val="auto"/>
          <w:spacing w:val="0"/>
          <w:kern w:val="2"/>
          <w:sz w:val="32"/>
          <w:szCs w:val="32"/>
          <w:u w:val="none"/>
          <w:shd w:val="clear" w:color="auto" w:fill="FFFFFF"/>
          <w:lang w:val="en-US" w:eastAsia="zh-CN" w:bidi="ar-SA"/>
        </w:rPr>
      </w:pPr>
      <w:r>
        <w:rPr>
          <w:rFonts w:hint="eastAsia" w:ascii="仿宋_GB2312" w:hAnsi="宋体" w:eastAsia="仿宋_GB2312" w:cs="仿宋_GB2312"/>
          <w:i w:val="0"/>
          <w:iCs w:val="0"/>
          <w:caps w:val="0"/>
          <w:color w:val="auto"/>
          <w:spacing w:val="0"/>
          <w:kern w:val="2"/>
          <w:sz w:val="32"/>
          <w:szCs w:val="32"/>
          <w:u w:val="none"/>
          <w:shd w:val="clear" w:color="auto" w:fill="FFFFFF"/>
          <w:lang w:val="en-US" w:eastAsia="zh-CN" w:bidi="ar-SA"/>
        </w:rPr>
        <w:t xml:space="preserve">                        监督电话：0730-8426096</w:t>
      </w:r>
    </w:p>
    <w:bookmarkEnd w:id="0"/>
    <w:sectPr>
      <w:pgSz w:w="12240" w:h="15840"/>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8534C61"/>
    <w:rsid w:val="1B381208"/>
    <w:rsid w:val="1EE05BBE"/>
    <w:rsid w:val="21C5656E"/>
    <w:rsid w:val="2CB61E76"/>
    <w:rsid w:val="35F04D1E"/>
    <w:rsid w:val="49B43310"/>
    <w:rsid w:val="56636FCA"/>
    <w:rsid w:val="771D79F7"/>
    <w:rsid w:val="7B3B62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315</Words>
  <Characters>349</Characters>
  <Lines>0</Lines>
  <Paragraphs>0</Paragraphs>
  <TotalTime>230</TotalTime>
  <ScaleCrop>false</ScaleCrop>
  <LinksUpToDate>false</LinksUpToDate>
  <CharactersWithSpaces>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ld</cp:lastModifiedBy>
  <dcterms:modified xsi:type="dcterms:W3CDTF">2026-07-24T03:21:09Z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eyJoZGlkIjoiMWVkZjQyYTAyYWFkNjU5YTAzZDAxNDE3YjMwMjU1N2IiLCJ1c2VySWQiOiIyNTM2MTA2OTYifQ==</vt:lpwstr>
  </property>
  <property fmtid="{D5CDD505-2E9C-101B-9397-08002B2CF9AE}" pid="3" name="KSOProductBuildVer">
    <vt:lpwstr>2052-12.1.0.26375</vt:lpwstr>
  </property>
  <property fmtid="{D5CDD505-2E9C-101B-9397-08002B2CF9AE}" pid="4" name="ICV">
    <vt:lpwstr>C32E605016D84A12BBFD22944AD306E1_12</vt:lpwstr>
  </property>
</Properties>
</file>